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COMMUNITY SERVICE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Service Project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Join us for our annual community service project on Wednesday, May 31 from 10:00 a.m. - 1:00 p.m. We will be engaging in a college workshop for juniors at Keene High School.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="24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Toiletry Donation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will also continue the tradition of collecting unused toiletries to donate to a local community-based organization! This year, we challenge your admission office or school district to collect the most unused toiletries. The office or district that collects the most will receive a prize, including bragging rights! Keep this in mind when you are traveling this spring, as any unused supplies are appreciated.</w:t>
      </w:r>
    </w:p>
    <w:p w:rsidR="00000000" w:rsidDel="00000000" w:rsidP="00000000" w:rsidRDefault="00000000" w:rsidRPr="00000000">
      <w:pPr>
        <w:widowControl w:val="1"/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Raffle Prizes &amp; BINGO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always, we will be raffling off prizes throughout the Conference and selling BINGO tickets in support of the NEACAC Make a Difference Fund and the NACAC Imagine Fund. 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 more information regarding community service, toiletry donations, or raffle items, please contact Tricia Culver, </w:t>
      </w:r>
      <w:hyperlink r:id="rId5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tculver@lasell.edu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tculver@lasell.edu" TargetMode="External"/></Relationships>
</file>